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38" w:rsidRPr="003C5FEA" w:rsidRDefault="00687338">
      <w:pPr>
        <w:rPr>
          <w:rFonts w:ascii="Times New Roman" w:hAnsi="Times New Roman" w:cs="Times New Roman"/>
        </w:rPr>
      </w:pPr>
      <w:bookmarkStart w:id="0" w:name="_GoBack"/>
      <w:bookmarkEnd w:id="0"/>
    </w:p>
    <w:p w:rsidR="00687338" w:rsidRPr="003C5FEA" w:rsidRDefault="00687338">
      <w:pPr>
        <w:rPr>
          <w:rFonts w:ascii="Times New Roman" w:hAnsi="Times New Roman" w:cs="Times New Roman"/>
        </w:rPr>
      </w:pPr>
    </w:p>
    <w:p w:rsidR="00687338" w:rsidRPr="003C5FEA" w:rsidRDefault="00687338">
      <w:pPr>
        <w:rPr>
          <w:rFonts w:ascii="Times New Roman" w:hAnsi="Times New Roman" w:cs="Times New Roman"/>
        </w:rPr>
      </w:pPr>
    </w:p>
    <w:p w:rsidR="00687338" w:rsidRPr="003C5FEA" w:rsidRDefault="00687338" w:rsidP="00687338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C5FEA">
        <w:rPr>
          <w:rFonts w:ascii="Times New Roman" w:eastAsia="Times New Roman" w:hAnsi="Times New Roman" w:cs="Times New Roman"/>
          <w:b/>
          <w:sz w:val="16"/>
          <w:szCs w:val="16"/>
        </w:rPr>
        <w:t>TABLE 2.</w:t>
      </w:r>
      <w:r w:rsidRPr="003C5FEA">
        <w:rPr>
          <w:rFonts w:ascii="Times New Roman" w:eastAsia="Times New Roman" w:hAnsi="Times New Roman" w:cs="Times New Roman"/>
          <w:sz w:val="16"/>
          <w:szCs w:val="16"/>
        </w:rPr>
        <w:t xml:space="preserve"> Time-to-acceptance (t) of Library Hi Tech (2004 – 2015) | t = days (* The data from Vol. 29 No. 2 2011 to Vol. 31 No. 1 2013 is missing.)</w:t>
      </w:r>
    </w:p>
    <w:tbl>
      <w:tblPr>
        <w:tblStyle w:val="ListTable6Colorful-Accent31"/>
        <w:tblpPr w:leftFromText="180" w:rightFromText="180" w:vertAnchor="text" w:horzAnchor="page" w:tblpX="1549" w:tblpY="118"/>
        <w:tblW w:w="0" w:type="auto"/>
        <w:tblLook w:val="04A0" w:firstRow="1" w:lastRow="0" w:firstColumn="1" w:lastColumn="0" w:noHBand="0" w:noVBand="1"/>
      </w:tblPr>
      <w:tblGrid>
        <w:gridCol w:w="900"/>
        <w:gridCol w:w="1278"/>
        <w:gridCol w:w="90"/>
        <w:gridCol w:w="1620"/>
        <w:gridCol w:w="90"/>
        <w:gridCol w:w="1350"/>
        <w:gridCol w:w="1260"/>
        <w:gridCol w:w="1210"/>
        <w:gridCol w:w="1040"/>
      </w:tblGrid>
      <w:tr w:rsidR="00687338" w:rsidRPr="003C5FEA" w:rsidTr="008C3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Align w:val="center"/>
          </w:tcPr>
          <w:p w:rsidR="00687338" w:rsidRPr="003C5FEA" w:rsidRDefault="00687338" w:rsidP="008C35DF">
            <w:pPr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Year</w:t>
            </w:r>
          </w:p>
        </w:tc>
        <w:tc>
          <w:tcPr>
            <w:tcW w:w="1368" w:type="dxa"/>
            <w:gridSpan w:val="2"/>
            <w:vAlign w:val="center"/>
          </w:tcPr>
          <w:p w:rsidR="00687338" w:rsidRPr="003C5FEA" w:rsidRDefault="00687338" w:rsidP="008C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No. of Issues</w:t>
            </w:r>
          </w:p>
        </w:tc>
        <w:tc>
          <w:tcPr>
            <w:tcW w:w="1710" w:type="dxa"/>
            <w:gridSpan w:val="2"/>
            <w:vAlign w:val="center"/>
          </w:tcPr>
          <w:p w:rsidR="00687338" w:rsidRPr="003C5FEA" w:rsidRDefault="00687338" w:rsidP="008C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No. of Articles</w:t>
            </w:r>
          </w:p>
        </w:tc>
        <w:tc>
          <w:tcPr>
            <w:tcW w:w="1350" w:type="dxa"/>
            <w:vAlign w:val="center"/>
          </w:tcPr>
          <w:p w:rsidR="00687338" w:rsidRPr="003C5FEA" w:rsidRDefault="00687338" w:rsidP="008C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Average t</w:t>
            </w:r>
          </w:p>
        </w:tc>
        <w:tc>
          <w:tcPr>
            <w:tcW w:w="1260" w:type="dxa"/>
            <w:vAlign w:val="center"/>
          </w:tcPr>
          <w:p w:rsidR="00687338" w:rsidRPr="003C5FEA" w:rsidRDefault="00687338" w:rsidP="008C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noProof/>
                <w:color w:val="auto"/>
                <w:sz w:val="24"/>
                <w:szCs w:val="24"/>
              </w:rPr>
              <w:t>Median t</w:t>
            </w:r>
          </w:p>
        </w:tc>
        <w:tc>
          <w:tcPr>
            <w:tcW w:w="1210" w:type="dxa"/>
            <w:vAlign w:val="center"/>
          </w:tcPr>
          <w:p w:rsidR="00687338" w:rsidRPr="003C5FEA" w:rsidRDefault="00687338" w:rsidP="008C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Max t</w:t>
            </w:r>
          </w:p>
        </w:tc>
        <w:tc>
          <w:tcPr>
            <w:tcW w:w="1040" w:type="dxa"/>
            <w:vAlign w:val="center"/>
          </w:tcPr>
          <w:p w:rsidR="00687338" w:rsidRPr="003C5FEA" w:rsidRDefault="00687338" w:rsidP="008C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noProof/>
                <w:color w:val="auto"/>
                <w:sz w:val="24"/>
                <w:szCs w:val="24"/>
              </w:rPr>
              <w:t>Min t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2004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358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2005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288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2006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219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2007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687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2008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52.5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213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2009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2010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330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2011</w:t>
            </w:r>
            <w:r w:rsidRPr="003C5FE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 xml:space="preserve"> *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247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2013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264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687338" w:rsidRPr="003C5FEA" w:rsidTr="008C3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2014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303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687338" w:rsidRPr="003C5FEA" w:rsidTr="008C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2015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85.5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323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687338" w:rsidRPr="003C5FEA" w:rsidRDefault="00687338" w:rsidP="008C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</w:tbl>
    <w:p w:rsidR="00687338" w:rsidRPr="003C5FEA" w:rsidRDefault="00687338" w:rsidP="0068733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87338" w:rsidRPr="003C5F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DE" w:rsidRDefault="002635DE" w:rsidP="00B549F7">
      <w:pPr>
        <w:spacing w:line="240" w:lineRule="auto"/>
      </w:pPr>
      <w:r>
        <w:separator/>
      </w:r>
    </w:p>
  </w:endnote>
  <w:endnote w:type="continuationSeparator" w:id="0">
    <w:p w:rsidR="002635DE" w:rsidRDefault="002635DE" w:rsidP="00B54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9F7" w:rsidRDefault="00B54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9F7" w:rsidRDefault="00B54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9F7" w:rsidRDefault="00B54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DE" w:rsidRDefault="002635DE" w:rsidP="00B549F7">
      <w:pPr>
        <w:spacing w:line="240" w:lineRule="auto"/>
      </w:pPr>
      <w:r>
        <w:separator/>
      </w:r>
    </w:p>
  </w:footnote>
  <w:footnote w:type="continuationSeparator" w:id="0">
    <w:p w:rsidR="002635DE" w:rsidRDefault="002635DE" w:rsidP="00B549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9F7" w:rsidRDefault="00B54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9F7" w:rsidRDefault="00B549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9F7" w:rsidRDefault="00B549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37"/>
    <w:rsid w:val="002635DE"/>
    <w:rsid w:val="003C5FEA"/>
    <w:rsid w:val="00567209"/>
    <w:rsid w:val="005D0144"/>
    <w:rsid w:val="00687338"/>
    <w:rsid w:val="00B549F7"/>
    <w:rsid w:val="00E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687338"/>
    <w:pPr>
      <w:spacing w:after="0" w:line="276" w:lineRule="auto"/>
    </w:pPr>
    <w:rPr>
      <w:rFonts w:ascii="Arial" w:eastAsia="Arial" w:hAnsi="Arial" w:cs="Arial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338"/>
    <w:pPr>
      <w:spacing w:after="0" w:line="240" w:lineRule="auto"/>
    </w:pPr>
    <w:rPr>
      <w:rFonts w:ascii="Arial" w:eastAsia="Arial" w:hAnsi="Arial" w:cs="Arial"/>
      <w:color w:val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31">
    <w:name w:val="List Table 6 Colorful - Accent 31"/>
    <w:basedOn w:val="TableNormal"/>
    <w:uiPriority w:val="51"/>
    <w:rsid w:val="006873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Emphasis">
    <w:name w:val="Emphasis"/>
    <w:basedOn w:val="DefaultParagraphFont"/>
    <w:uiPriority w:val="20"/>
    <w:qFormat/>
    <w:rsid w:val="006873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49F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9F7"/>
    <w:rPr>
      <w:rFonts w:ascii="Arial" w:eastAsia="Arial" w:hAnsi="Arial" w:cs="Arial"/>
      <w:color w:val="0000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49F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9F7"/>
    <w:rPr>
      <w:rFonts w:ascii="Arial" w:eastAsia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2017-04-19T08:05:00Z</dcterms:created>
  <dcterms:modified xsi:type="dcterms:W3CDTF">2017-04-19T08:06:00Z</dcterms:modified>
</cp:coreProperties>
</file>